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tabs>
          <w:tab w:val="left" w:pos="5192"/>
        </w:tabs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中南大学</w:t>
      </w:r>
      <w:r>
        <w:rPr>
          <w:rFonts w:hint="default"/>
          <w:b/>
          <w:sz w:val="44"/>
          <w:szCs w:val="44"/>
          <w:lang w:val="en-US" w:eastAsia="zh-CN"/>
        </w:rPr>
        <w:t>学位论文质量检测系统</w:t>
      </w:r>
      <w:r>
        <w:rPr>
          <w:rFonts w:hint="eastAsia"/>
          <w:b/>
          <w:sz w:val="44"/>
          <w:szCs w:val="44"/>
          <w:lang w:val="en-US" w:eastAsia="zh-CN"/>
        </w:rPr>
        <w:t>说明书</w:t>
      </w:r>
    </w:p>
    <w:p>
      <w:pPr>
        <w:tabs>
          <w:tab w:val="left" w:pos="5192"/>
        </w:tabs>
        <w:jc w:val="right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-学生</w:t>
      </w:r>
    </w:p>
    <w:p>
      <w:pPr>
        <w:tabs>
          <w:tab w:val="left" w:pos="5192"/>
        </w:tabs>
        <w:jc w:val="both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学生登陆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登陆中南大学研究生管理信息系统后点击个人中心-学位论文质量检测平台进行跳转登陆。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初始登陆系统需要绑定手机，并修改密码（初始密码为学号），完成验证以后登陆只需从管理信息系统登入即可。</w:t>
      </w:r>
    </w:p>
    <w:p>
      <w:pPr>
        <w:adjustRightInd w:val="0"/>
        <w:snapToGrid w:val="0"/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9295765" cy="5704205"/>
            <wp:effectExtent l="0" t="0" r="635" b="10795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576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质量检测</w:t>
      </w: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  <w:lang w:val="en-US" w:eastAsia="zh-CN"/>
        </w:rPr>
        <w:t>一</w:t>
      </w:r>
      <w:r>
        <w:rPr>
          <w:rFonts w:hint="eastAsia"/>
          <w:b/>
          <w:sz w:val="44"/>
          <w:szCs w:val="44"/>
        </w:rPr>
        <w:t>阶段</w:t>
      </w:r>
    </w:p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论文提交格式检查-与论文检测无关</w:t>
      </w:r>
      <w:r>
        <w:rPr>
          <w:rFonts w:hint="eastAsia"/>
          <w:b/>
          <w:sz w:val="44"/>
          <w:szCs w:val="44"/>
          <w:lang w:eastAsia="zh-CN"/>
        </w:rPr>
        <w:t>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学生提交论文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进行格式检查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在进行</w:t>
      </w:r>
      <w:r>
        <w:rPr>
          <w:rFonts w:hint="eastAsia" w:ascii="宋体" w:hAnsi="宋体" w:eastAsia="宋体"/>
          <w:sz w:val="28"/>
          <w:szCs w:val="28"/>
        </w:rPr>
        <w:t>学术不端行为检测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前，系统按照学校模板</w:t>
      </w:r>
      <w:r>
        <w:rPr>
          <w:rFonts w:hint="eastAsia" w:ascii="宋体" w:hAnsi="宋体" w:eastAsia="宋体"/>
          <w:sz w:val="28"/>
          <w:szCs w:val="28"/>
        </w:rPr>
        <w:t>为学生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提供格式检查服务，旨在帮助学生查看自己论文中出可能存在的格式错误，段落错误，错别字等情况。学生可使用初稿功能进行格式检查。（1，格式检查只用于辅助提醒功能，不影响查重结果）</w:t>
      </w:r>
      <w:bookmarkStart w:id="4" w:name="_GoBack"/>
      <w:bookmarkEnd w:id="4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进入提交初稿功能提交，如需多次上传则点击进入写作助手（需验证邮箱登陆），进行模板比对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9308465" cy="3141345"/>
            <wp:effectExtent l="0" t="0" r="6985" b="1905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846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0" w:firstLineChars="200"/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color w:val="FF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 w:eastAsia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Ps：格式检查可多次使用，格式检查只用于辅助提醒功能，以本人判断为准同时不影响查重结果。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质量检测</w:t>
      </w:r>
      <w:r>
        <w:rPr>
          <w:rFonts w:hint="eastAsia"/>
          <w:b/>
          <w:sz w:val="44"/>
          <w:szCs w:val="44"/>
        </w:rPr>
        <w:t>第二阶段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（论文提交、检测）-学生</w:t>
      </w:r>
      <w:bookmarkStart w:id="0" w:name="_Toc6241332"/>
    </w:p>
    <w:p>
      <w:pPr>
        <w:jc w:val="center"/>
        <w:rPr>
          <w:b/>
          <w:sz w:val="44"/>
          <w:szCs w:val="44"/>
        </w:rPr>
      </w:pPr>
    </w:p>
    <w:sdt>
      <w:sdtPr>
        <w:rPr>
          <w:rFonts w:ascii="等线" w:hAnsi="等线" w:eastAsia="等线" w:cs="Times New Roman"/>
          <w:lang w:val="zh-CN"/>
        </w:rPr>
        <w:id w:val="-1960790649"/>
        <w:docPartObj>
          <w:docPartGallery w:val="Table of Contents"/>
          <w:docPartUnique/>
        </w:docPartObj>
      </w:sdtPr>
      <w:sdtEndPr>
        <w:rPr>
          <w:rFonts w:ascii="等线" w:hAnsi="等线" w:eastAsia="等线" w:cs="Times New Roman"/>
          <w:b/>
          <w:bCs/>
          <w:lang w:val="zh-CN"/>
        </w:rPr>
      </w:sdtEndPr>
      <w:sdtContent>
        <w:p>
          <w:pPr>
            <w:keepNext/>
            <w:keepLines/>
            <w:widowControl/>
            <w:spacing w:before="240" w:line="259" w:lineRule="auto"/>
            <w:jc w:val="center"/>
            <w:rPr>
              <w:rFonts w:ascii="宋体" w:hAnsi="宋体" w:eastAsia="宋体" w:cs="Times New Roman"/>
              <w:b/>
              <w:color w:val="2F5496"/>
              <w:kern w:val="0"/>
              <w:sz w:val="32"/>
              <w:szCs w:val="32"/>
            </w:rPr>
          </w:pPr>
        </w:p>
        <w:p>
          <w:pPr>
            <w:pStyle w:val="7"/>
            <w:tabs>
              <w:tab w:val="right" w:leader="dot" w:pos="14678"/>
            </w:tabs>
            <w:rPr>
              <w:b/>
              <w:bCs/>
              <w:sz w:val="30"/>
              <w:szCs w:val="30"/>
            </w:rPr>
          </w:pPr>
          <w:r>
            <w:rPr>
              <w:rFonts w:ascii="宋体" w:hAnsi="宋体" w:eastAsia="宋体" w:cs="Times New Roman"/>
              <w:b/>
              <w:bCs/>
              <w:sz w:val="32"/>
              <w:szCs w:val="32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/>
              <w:bCs/>
              <w:sz w:val="32"/>
              <w:szCs w:val="32"/>
              <w:lang w:val="zh-CN"/>
            </w:rPr>
            <w:instrText xml:space="preserve"> TOC \o "1-3" \h \z \u </w:instrText>
          </w:r>
          <w:r>
            <w:rPr>
              <w:rFonts w:ascii="宋体" w:hAnsi="宋体" w:eastAsia="宋体" w:cs="Times New Roman"/>
              <w:b/>
              <w:bCs/>
              <w:sz w:val="32"/>
              <w:szCs w:val="32"/>
              <w:lang w:val="zh-CN"/>
            </w:rPr>
            <w:fldChar w:fldCharType="separate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instrText xml:space="preserve"> HYPERLINK \l _Toc25227 </w:instrText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separate"/>
          </w:r>
          <w:r>
            <w:rPr>
              <w:rFonts w:hint="eastAsia" w:ascii="宋体" w:hAnsi="宋体" w:eastAsia="宋体"/>
              <w:b/>
              <w:bCs/>
              <w:sz w:val="30"/>
              <w:szCs w:val="30"/>
            </w:rPr>
            <w:t>一、流程</w:t>
          </w:r>
          <w:r>
            <w:rPr>
              <w:b/>
              <w:bCs/>
              <w:sz w:val="30"/>
              <w:szCs w:val="30"/>
            </w:rPr>
            <w:tab/>
          </w:r>
          <w:r>
            <w:rPr>
              <w:b/>
              <w:bCs/>
              <w:sz w:val="30"/>
              <w:szCs w:val="30"/>
            </w:rPr>
            <w:fldChar w:fldCharType="begin"/>
          </w:r>
          <w:r>
            <w:rPr>
              <w:b/>
              <w:bCs/>
              <w:sz w:val="30"/>
              <w:szCs w:val="30"/>
            </w:rPr>
            <w:instrText xml:space="preserve"> PAGEREF _Toc25227 </w:instrText>
          </w:r>
          <w:r>
            <w:rPr>
              <w:b/>
              <w:bCs/>
              <w:sz w:val="30"/>
              <w:szCs w:val="30"/>
            </w:rPr>
            <w:fldChar w:fldCharType="separate"/>
          </w:r>
          <w:r>
            <w:rPr>
              <w:b/>
              <w:bCs/>
              <w:sz w:val="30"/>
              <w:szCs w:val="30"/>
            </w:rPr>
            <w:t>1</w:t>
          </w:r>
          <w:r>
            <w:rPr>
              <w:b/>
              <w:bCs/>
              <w:sz w:val="30"/>
              <w:szCs w:val="30"/>
            </w:rPr>
            <w:fldChar w:fldCharType="end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14678"/>
            </w:tabs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</w:pP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instrText xml:space="preserve"> HYPERLINK \l _Toc8539 </w:instrText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separate"/>
          </w:r>
          <w:r>
            <w:rPr>
              <w:rFonts w:ascii="宋体" w:hAnsi="宋体" w:eastAsia="宋体"/>
              <w:b/>
              <w:bCs/>
              <w:sz w:val="30"/>
              <w:szCs w:val="30"/>
            </w:rPr>
            <w:t>二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</w:rPr>
            <w:t>、学生提交论文检测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  <w:lang w:eastAsia="zh-CN"/>
            </w:rPr>
            <w:t>（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  <w:lang w:val="en-US" w:eastAsia="zh-CN"/>
            </w:rPr>
            <w:t>含送审版提交指南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  <w:lang w:eastAsia="zh-CN"/>
            </w:rPr>
            <w:t>）</w:t>
          </w:r>
          <w:r>
            <w:rPr>
              <w:b/>
              <w:bCs/>
              <w:sz w:val="30"/>
              <w:szCs w:val="30"/>
            </w:rPr>
            <w:tab/>
          </w:r>
          <w:r>
            <w:rPr>
              <w:b/>
              <w:bCs/>
              <w:sz w:val="30"/>
              <w:szCs w:val="30"/>
            </w:rPr>
            <w:fldChar w:fldCharType="begin"/>
          </w:r>
          <w:r>
            <w:rPr>
              <w:b/>
              <w:bCs/>
              <w:sz w:val="30"/>
              <w:szCs w:val="30"/>
            </w:rPr>
            <w:instrText xml:space="preserve"> PAGEREF _Toc8539 </w:instrText>
          </w:r>
          <w:r>
            <w:rPr>
              <w:b/>
              <w:bCs/>
              <w:sz w:val="30"/>
              <w:szCs w:val="30"/>
            </w:rPr>
            <w:fldChar w:fldCharType="separate"/>
          </w:r>
          <w:r>
            <w:rPr>
              <w:b/>
              <w:bCs/>
              <w:sz w:val="30"/>
              <w:szCs w:val="30"/>
            </w:rPr>
            <w:t>3</w:t>
          </w:r>
          <w:r>
            <w:rPr>
              <w:b/>
              <w:bCs/>
              <w:sz w:val="30"/>
              <w:szCs w:val="30"/>
            </w:rPr>
            <w:fldChar w:fldCharType="end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end"/>
          </w:r>
        </w:p>
        <w:p>
          <w:pPr>
            <w:rPr>
              <w:rFonts w:hint="default" w:eastAsia="宋体"/>
              <w:lang w:val="en-US" w:eastAsia="zh-CN"/>
            </w:rPr>
          </w:pPr>
        </w:p>
        <w:p>
          <w:pPr>
            <w:adjustRightInd w:val="0"/>
            <w:snapToGrid w:val="0"/>
            <w:spacing w:line="480" w:lineRule="auto"/>
            <w:jc w:val="center"/>
            <w:rPr>
              <w:rFonts w:ascii="等线" w:hAnsi="等线" w:eastAsia="等线" w:cs="Times New Roman"/>
              <w:b/>
              <w:bCs/>
              <w:lang w:val="zh-CN"/>
            </w:rPr>
          </w:pPr>
          <w:r>
            <w:rPr>
              <w:rFonts w:ascii="宋体" w:hAnsi="宋体" w:eastAsia="宋体" w:cs="Times New Roman"/>
              <w:bCs/>
              <w:szCs w:val="32"/>
              <w:lang w:val="zh-CN"/>
            </w:rPr>
            <w:fldChar w:fldCharType="end"/>
          </w:r>
        </w:p>
      </w:sdtContent>
    </w:sdt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pStyle w:val="3"/>
        <w:jc w:val="center"/>
        <w:rPr>
          <w:rFonts w:ascii="宋体" w:hAnsi="宋体" w:eastAsia="宋体"/>
        </w:rPr>
      </w:pPr>
      <w:bookmarkStart w:id="1" w:name="_Toc25227"/>
      <w:r>
        <w:rPr>
          <w:rFonts w:hint="eastAsia" w:ascii="宋体" w:hAnsi="宋体" w:eastAsia="宋体"/>
        </w:rPr>
        <w:t>一、流程</w:t>
      </w:r>
      <w:bookmarkEnd w:id="0"/>
      <w:bookmarkEnd w:id="1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学术不端行为检测分为学生自由检测和正式检测，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共两次</w:t>
      </w:r>
      <w:r>
        <w:rPr>
          <w:rFonts w:hint="eastAsia" w:ascii="宋体" w:hAnsi="宋体" w:eastAsia="宋体"/>
          <w:sz w:val="28"/>
          <w:szCs w:val="28"/>
        </w:rPr>
        <w:t>。第一次检测为学生自由检测，第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sz w:val="28"/>
          <w:szCs w:val="28"/>
        </w:rPr>
        <w:t>次为正式检测，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均在学位论文送检版模块提交，正式通过后，送审版提交到学位论文送审版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color w:val="FF0000"/>
          <w:sz w:val="28"/>
          <w:szCs w:val="28"/>
          <w:lang w:val="en-US" w:eastAsia="zh-CN"/>
        </w:rPr>
        <w:t>学生自由检测和正式检测均在提交学位论文送检版中进行。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3792220</wp:posOffset>
            </wp:positionH>
            <wp:positionV relativeFrom="page">
              <wp:posOffset>2745740</wp:posOffset>
            </wp:positionV>
            <wp:extent cx="5000625" cy="4164965"/>
            <wp:effectExtent l="0" t="0" r="9525" b="0"/>
            <wp:wrapTight wrapText="bothSides">
              <wp:wrapPolygon>
                <wp:start x="0" y="0"/>
                <wp:lineTo x="0" y="21537"/>
                <wp:lineTo x="21559" y="21537"/>
                <wp:lineTo x="21559" y="0"/>
                <wp:lineTo x="0" y="0"/>
              </wp:wrapPolygon>
            </wp:wrapTight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ge">
              <wp:posOffset>2984500</wp:posOffset>
            </wp:positionV>
            <wp:extent cx="3105150" cy="3057525"/>
            <wp:effectExtent l="0" t="0" r="0" b="952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FF0000"/>
          <w:sz w:val="28"/>
          <w:szCs w:val="28"/>
        </w:rPr>
        <w:t>学生自由检测结果不影响正式检测结果。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务必提交pdf版本。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提交检测的学位论文电子版为PDF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格式，电子文档内容为学位论文正文部分（含绪论），不含封面，扉页，目录，中英文摘要、致谢、附录等部分。电子文档命名为：学号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_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姓名.pdf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2" w:name="_Toc6241333"/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pStyle w:val="3"/>
        <w:numPr>
          <w:ilvl w:val="0"/>
          <w:numId w:val="2"/>
        </w:numPr>
        <w:jc w:val="both"/>
        <w:rPr>
          <w:rFonts w:hint="eastAsia" w:ascii="宋体" w:hAnsi="宋体" w:eastAsia="宋体"/>
        </w:rPr>
      </w:pPr>
      <w:bookmarkStart w:id="3" w:name="_Toc8539"/>
      <w:r>
        <w:rPr>
          <w:rFonts w:hint="eastAsia" w:ascii="宋体" w:hAnsi="宋体" w:eastAsia="宋体"/>
        </w:rPr>
        <w:t>学生提交</w:t>
      </w:r>
      <w:bookmarkEnd w:id="2"/>
      <w:r>
        <w:rPr>
          <w:rFonts w:hint="eastAsia" w:ascii="宋体" w:hAnsi="宋体" w:eastAsia="宋体"/>
        </w:rPr>
        <w:t>论文检测</w:t>
      </w:r>
      <w:bookmarkEnd w:id="3"/>
    </w:p>
    <w:p>
      <w:pPr>
        <w:rPr>
          <w:rFonts w:hint="default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  <w:t>学生第一次检测阶段（自由检测）</w:t>
      </w:r>
    </w:p>
    <w:p>
      <w:pPr>
        <w:numPr>
          <w:ilvl w:val="0"/>
          <w:numId w:val="0"/>
        </w:num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（一）点击“过程文档管理”-</w:t>
      </w:r>
      <w:r>
        <w:rPr>
          <w:rFonts w:ascii="宋体" w:hAnsi="宋体" w:eastAsia="宋体"/>
          <w:sz w:val="28"/>
          <w:szCs w:val="28"/>
        </w:rPr>
        <w:t>--“</w:t>
      </w:r>
      <w:r>
        <w:rPr>
          <w:rFonts w:hint="eastAsia" w:ascii="宋体" w:hAnsi="宋体" w:eastAsia="宋体"/>
          <w:sz w:val="28"/>
          <w:szCs w:val="28"/>
        </w:rPr>
        <w:t>提交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学位论文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，进入论文提交页面。</w:t>
      </w:r>
    </w:p>
    <w:p>
      <w:pPr>
        <w:jc w:val="center"/>
      </w:pPr>
      <w:r>
        <w:drawing>
          <wp:inline distT="0" distB="0" distL="114300" distR="114300">
            <wp:extent cx="8296275" cy="31432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359" w:leftChars="171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（二）点击“提交文档”，进入提交页面（如下图），录入关键词中英文摘要等信息（若无，请填“无”）。</w:t>
      </w:r>
    </w:p>
    <w:p>
      <w:pPr>
        <w:pStyle w:val="13"/>
        <w:ind w:left="359" w:leftChars="171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（三）点击“选择待检测文档”，选择待检测的论文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  <w:highlight w:val="none"/>
          <w:lang w:val="en-US" w:eastAsia="zh-CN"/>
        </w:rPr>
        <w:t>pdf版本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并选择格式检查模板</w:t>
      </w:r>
      <w:r>
        <w:rPr>
          <w:rFonts w:hint="eastAsia" w:ascii="宋体" w:hAnsi="宋体" w:eastAsia="宋体"/>
          <w:sz w:val="28"/>
          <w:szCs w:val="28"/>
        </w:rPr>
        <w:t>然后提交。</w:t>
      </w:r>
    </w:p>
    <w:p>
      <w:pPr>
        <w:pStyle w:val="13"/>
        <w:ind w:left="359" w:leftChars="171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（注：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学生第一次检测为自由检测即提交就出具检测结果，请同学确定文章无误后提交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jc w:val="center"/>
      </w:pPr>
      <w:r>
        <w:drawing>
          <wp:inline distT="0" distB="0" distL="114300" distR="114300">
            <wp:extent cx="8665210" cy="3746500"/>
            <wp:effectExtent l="0" t="0" r="2540" b="635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521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359" w:leftChars="171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提交成功后，进入如下图所示：</w:t>
      </w:r>
    </w:p>
    <w:p>
      <w:pPr>
        <w:jc w:val="center"/>
      </w:pPr>
      <w:r>
        <w:drawing>
          <wp:inline distT="0" distB="0" distL="114300" distR="114300">
            <wp:extent cx="8256270" cy="1941830"/>
            <wp:effectExtent l="0" t="0" r="11430" b="12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5627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查看结果：</w:t>
      </w:r>
    </w:p>
    <w:p>
      <w:pPr>
        <w:ind w:firstLine="560" w:firstLineChars="200"/>
        <w:jc w:val="both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1.点击“查看详情”可看到检测结果及教师批注内容</w:t>
      </w:r>
    </w:p>
    <w:p>
      <w:pPr>
        <w:ind w:firstLine="560" w:firstLineChars="200"/>
        <w:jc w:val="both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2.点击“写作检查结果”及“格式检查结果”可看到写作检查及格式检查结果</w:t>
      </w:r>
    </w:p>
    <w:p>
      <w:pPr>
        <w:ind w:firstLine="560" w:firstLineChars="200"/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Ps：写作检查及格式检查结果仅用于辅助参考，考核标准以检测结果为准</w:t>
      </w:r>
    </w:p>
    <w:p>
      <w:pPr>
        <w:widowControl/>
        <w:numPr>
          <w:ilvl w:val="0"/>
          <w:numId w:val="0"/>
        </w:numPr>
        <w:ind w:left="1470" w:leftChar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/>
          <w:sz w:val="28"/>
          <w:szCs w:val="28"/>
        </w:rPr>
        <w:t>）检测结果查看</w:t>
      </w:r>
    </w:p>
    <w:p>
      <w:pPr>
        <w:widowControl/>
        <w:ind w:firstLine="562" w:firstLineChars="20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在学校或学院设置的检测时间段内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sz w:val="28"/>
          <w:szCs w:val="28"/>
        </w:rPr>
        <w:t>立刻进行检测，完成后，可以看到检测结果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,可以下载简洁报告单</w:t>
      </w:r>
      <w:r>
        <w:rPr>
          <w:rFonts w:hint="eastAsia" w:ascii="宋体" w:hAnsi="宋体" w:eastAsia="宋体"/>
          <w:b/>
          <w:sz w:val="28"/>
          <w:szCs w:val="28"/>
        </w:rPr>
        <w:t>。</w:t>
      </w:r>
    </w:p>
    <w:p>
      <w:pPr>
        <w:widowControl/>
        <w:jc w:val="center"/>
      </w:pPr>
      <w:r>
        <w:drawing>
          <wp:inline distT="0" distB="0" distL="114300" distR="114300">
            <wp:extent cx="9313545" cy="2218690"/>
            <wp:effectExtent l="0" t="0" r="1905" b="1016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1354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  <w:r>
        <w:drawing>
          <wp:inline distT="0" distB="0" distL="114300" distR="114300">
            <wp:extent cx="9310370" cy="3654425"/>
            <wp:effectExtent l="0" t="0" r="5080" b="317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1037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  <w:t>学生第二次检测阶段（正式检测-导师确认后检测）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（一）点击“过程文档管理”-</w:t>
      </w:r>
      <w:r>
        <w:rPr>
          <w:rFonts w:ascii="宋体" w:hAnsi="宋体" w:eastAsia="宋体"/>
          <w:sz w:val="28"/>
          <w:szCs w:val="28"/>
        </w:rPr>
        <w:t>--“</w:t>
      </w:r>
      <w:r>
        <w:rPr>
          <w:rFonts w:hint="eastAsia" w:ascii="宋体" w:hAnsi="宋体" w:eastAsia="宋体"/>
          <w:sz w:val="28"/>
          <w:szCs w:val="28"/>
        </w:rPr>
        <w:t>提交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学位论文送检版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，进入论文提交页面。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前一次检测完成后，即可出现新的“提交文档”的按钮，此时可以提交下一次待检测的论文。流程与前述提交相同。</w:t>
      </w:r>
    </w:p>
    <w:p>
      <w:pPr>
        <w:widowControl/>
        <w:ind w:firstLine="560" w:firstLineChars="200"/>
        <w:jc w:val="center"/>
        <w:rPr>
          <w:rFonts w:ascii="宋体" w:hAnsi="宋体" w:eastAsia="宋体"/>
          <w:sz w:val="28"/>
          <w:szCs w:val="28"/>
        </w:rPr>
      </w:pPr>
    </w:p>
    <w:p>
      <w:pPr>
        <w:widowControl/>
        <w:jc w:val="center"/>
      </w:pPr>
      <w:r>
        <w:drawing>
          <wp:inline distT="0" distB="0" distL="114300" distR="114300">
            <wp:extent cx="8466455" cy="3335655"/>
            <wp:effectExtent l="0" t="0" r="10795" b="171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6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3"/>
        </w:numPr>
        <w:ind w:left="359" w:leftChars="171"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点击“选择待检测文档”，选择待检测的论文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然后提交。</w:t>
      </w:r>
    </w:p>
    <w:p>
      <w:pPr>
        <w:pStyle w:val="13"/>
        <w:numPr>
          <w:numId w:val="0"/>
        </w:numPr>
        <w:ind w:leftChars="371"/>
        <w:rPr>
          <w:rFonts w:hint="eastAsia" w:ascii="宋体" w:hAnsi="宋体" w:eastAsia="宋体"/>
          <w:sz w:val="28"/>
          <w:szCs w:val="28"/>
        </w:rPr>
      </w:pPr>
      <w:r>
        <w:drawing>
          <wp:inline distT="0" distB="0" distL="114300" distR="114300">
            <wp:extent cx="8665210" cy="3746500"/>
            <wp:effectExtent l="0" t="0" r="2540" b="635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521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（注：</w:t>
      </w:r>
      <w:r>
        <w:rPr>
          <w:rFonts w:hint="eastAsia" w:ascii="宋体" w:hAnsi="宋体" w:eastAsia="宋体"/>
          <w:sz w:val="28"/>
          <w:szCs w:val="28"/>
          <w:lang w:eastAsia="zh-CN"/>
        </w:rPr>
        <w:t>导师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确认检测</w:t>
      </w:r>
      <w:r>
        <w:rPr>
          <w:rFonts w:hint="eastAsia" w:ascii="宋体" w:hAnsi="宋体" w:eastAsia="宋体"/>
          <w:sz w:val="28"/>
          <w:szCs w:val="28"/>
        </w:rPr>
        <w:t>前，学生可以随时登陆系统，点击修改）</w:t>
      </w:r>
    </w:p>
    <w:p>
      <w:pPr>
        <w:widowControl/>
        <w:jc w:val="left"/>
      </w:pPr>
    </w:p>
    <w:p>
      <w:pPr>
        <w:pStyle w:val="13"/>
        <w:ind w:left="359" w:leftChars="171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提交成功后，进入如下图所示：</w:t>
      </w:r>
    </w:p>
    <w:p>
      <w:pPr>
        <w:widowControl/>
        <w:jc w:val="left"/>
      </w:pPr>
      <w:r>
        <w:drawing>
          <wp:inline distT="0" distB="0" distL="114300" distR="114300">
            <wp:extent cx="9311640" cy="2981960"/>
            <wp:effectExtent l="0" t="0" r="3810" b="889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116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</w:t>
      </w:r>
      <w:r>
        <w:rPr>
          <w:rFonts w:hint="eastAsia" w:ascii="宋体" w:hAnsi="宋体" w:eastAsia="宋体"/>
          <w:sz w:val="28"/>
          <w:szCs w:val="28"/>
          <w:lang w:eastAsia="zh-CN"/>
        </w:rPr>
        <w:t>导师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确认检测</w:t>
      </w:r>
      <w:r>
        <w:rPr>
          <w:rFonts w:hint="eastAsia" w:ascii="宋体" w:hAnsi="宋体" w:eastAsia="宋体"/>
          <w:sz w:val="28"/>
          <w:szCs w:val="28"/>
        </w:rPr>
        <w:t>前，可随时对提交内容进行修改。</w:t>
      </w:r>
      <w:r>
        <w:rPr>
          <w:rFonts w:hint="eastAsia" w:ascii="宋体" w:hAnsi="宋体" w:eastAsia="宋体"/>
          <w:sz w:val="28"/>
          <w:szCs w:val="28"/>
          <w:lang w:eastAsia="zh-CN"/>
        </w:rPr>
        <w:t>导师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确认检测</w:t>
      </w:r>
      <w:r>
        <w:rPr>
          <w:rFonts w:hint="eastAsia" w:ascii="宋体" w:hAnsi="宋体" w:eastAsia="宋体"/>
          <w:sz w:val="28"/>
          <w:szCs w:val="28"/>
        </w:rPr>
        <w:t>后立刻进行检测。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检测结果查看</w:t>
      </w:r>
    </w:p>
    <w:p>
      <w:pPr>
        <w:widowControl/>
        <w:ind w:firstLine="562" w:firstLineChars="200"/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导师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确认检测后</w:t>
      </w:r>
      <w:r>
        <w:rPr>
          <w:rFonts w:hint="eastAsia" w:ascii="宋体" w:hAnsi="宋体" w:eastAsia="宋体"/>
          <w:b/>
          <w:sz w:val="28"/>
          <w:szCs w:val="28"/>
        </w:rPr>
        <w:t>，立刻进行检测，完成后，可以看到检测结果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并下载简洁报告单</w:t>
      </w:r>
      <w:r>
        <w:rPr>
          <w:rFonts w:hint="eastAsia" w:ascii="宋体" w:hAnsi="宋体" w:eastAsia="宋体"/>
          <w:b/>
          <w:sz w:val="28"/>
          <w:szCs w:val="28"/>
        </w:rPr>
        <w:t>。</w:t>
      </w:r>
    </w:p>
    <w:p>
      <w:pPr>
        <w:widowControl/>
        <w:ind w:firstLine="420" w:firstLineChars="200"/>
        <w:jc w:val="left"/>
      </w:pPr>
      <w:r>
        <w:drawing>
          <wp:inline distT="0" distB="0" distL="114300" distR="114300">
            <wp:extent cx="9313545" cy="2218690"/>
            <wp:effectExtent l="0" t="0" r="1905" b="1016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1354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  <w:rPr>
          <w:rFonts w:hint="eastAsia"/>
        </w:rPr>
      </w:pPr>
      <w:r>
        <w:drawing>
          <wp:inline distT="0" distB="0" distL="114300" distR="114300">
            <wp:extent cx="9310370" cy="3654425"/>
            <wp:effectExtent l="0" t="0" r="5080" b="317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1037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left"/>
      </w:pPr>
    </w:p>
    <w:p>
      <w:pPr>
        <w:widowControl/>
        <w:jc w:val="left"/>
        <w:rPr>
          <w:rFonts w:hint="eastAsia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  <w:t>送审版提交</w:t>
      </w:r>
    </w:p>
    <w:p>
      <w:pPr>
        <w:widowControl/>
        <w:numPr>
          <w:ilvl w:val="0"/>
          <w:numId w:val="4"/>
        </w:num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点击“过程文档管理”-</w:t>
      </w:r>
      <w:r>
        <w:rPr>
          <w:rFonts w:ascii="宋体" w:hAnsi="宋体" w:eastAsia="宋体"/>
          <w:sz w:val="28"/>
          <w:szCs w:val="28"/>
        </w:rPr>
        <w:t>--“</w:t>
      </w:r>
      <w:r>
        <w:rPr>
          <w:rFonts w:hint="eastAsia" w:ascii="宋体" w:hAnsi="宋体" w:eastAsia="宋体"/>
          <w:sz w:val="28"/>
          <w:szCs w:val="28"/>
        </w:rPr>
        <w:t>提交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学位论文送审版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，进入论文提交页面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pdf版本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widowControl/>
        <w:numPr>
          <w:ilvl w:val="0"/>
          <w:numId w:val="0"/>
        </w:numPr>
        <w:jc w:val="left"/>
      </w:pPr>
      <w:r>
        <w:drawing>
          <wp:inline distT="0" distB="0" distL="114300" distR="114300">
            <wp:extent cx="7842885" cy="2180590"/>
            <wp:effectExtent l="0" t="0" r="5715" b="1016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4288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4"/>
        </w:num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点击“选择待检测文档”，选择待检测的论文，然后提交</w:t>
      </w:r>
    </w:p>
    <w:p>
      <w:pPr>
        <w:widowControl/>
        <w:numPr>
          <w:ilvl w:val="0"/>
          <w:numId w:val="0"/>
        </w:numPr>
        <w:jc w:val="left"/>
      </w:pPr>
      <w:r>
        <w:drawing>
          <wp:inline distT="0" distB="0" distL="114300" distR="114300">
            <wp:extent cx="9308465" cy="4407535"/>
            <wp:effectExtent l="0" t="0" r="6985" b="12065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0846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Ps：送审版机会只有一次，请确保学位论文检测通过及文章无误后再行提交（格式为pdf格式，word格式无法对接送审）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771700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8C8E4"/>
    <w:multiLevelType w:val="singleLevel"/>
    <w:tmpl w:val="1598C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A0CF9E5"/>
    <w:multiLevelType w:val="singleLevel"/>
    <w:tmpl w:val="3A0CF9E5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2F18060"/>
    <w:multiLevelType w:val="singleLevel"/>
    <w:tmpl w:val="52F180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5E974"/>
    <w:multiLevelType w:val="singleLevel"/>
    <w:tmpl w:val="5A75E97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E7"/>
    <w:rsid w:val="0000643A"/>
    <w:rsid w:val="000072F9"/>
    <w:rsid w:val="00025AC9"/>
    <w:rsid w:val="000313E7"/>
    <w:rsid w:val="00062995"/>
    <w:rsid w:val="000650F9"/>
    <w:rsid w:val="000651FE"/>
    <w:rsid w:val="00087F3B"/>
    <w:rsid w:val="00096CC6"/>
    <w:rsid w:val="000F0CEF"/>
    <w:rsid w:val="0011647E"/>
    <w:rsid w:val="0012796D"/>
    <w:rsid w:val="00137E4F"/>
    <w:rsid w:val="001931A5"/>
    <w:rsid w:val="001934D9"/>
    <w:rsid w:val="001C42C7"/>
    <w:rsid w:val="003F08C6"/>
    <w:rsid w:val="003F115F"/>
    <w:rsid w:val="003F3CD8"/>
    <w:rsid w:val="004051EE"/>
    <w:rsid w:val="004141D3"/>
    <w:rsid w:val="004167A1"/>
    <w:rsid w:val="004567DA"/>
    <w:rsid w:val="0046505A"/>
    <w:rsid w:val="00484BF2"/>
    <w:rsid w:val="005271CB"/>
    <w:rsid w:val="0059353D"/>
    <w:rsid w:val="005E09BF"/>
    <w:rsid w:val="00637D65"/>
    <w:rsid w:val="006403D5"/>
    <w:rsid w:val="00654406"/>
    <w:rsid w:val="006B3CB9"/>
    <w:rsid w:val="006C4097"/>
    <w:rsid w:val="007359AB"/>
    <w:rsid w:val="00777109"/>
    <w:rsid w:val="00791824"/>
    <w:rsid w:val="007D1E75"/>
    <w:rsid w:val="0084096B"/>
    <w:rsid w:val="0085585A"/>
    <w:rsid w:val="00866A2A"/>
    <w:rsid w:val="00891304"/>
    <w:rsid w:val="008A7CB3"/>
    <w:rsid w:val="008B27DA"/>
    <w:rsid w:val="008D158B"/>
    <w:rsid w:val="008E2E50"/>
    <w:rsid w:val="009738DB"/>
    <w:rsid w:val="009756A5"/>
    <w:rsid w:val="009C26C2"/>
    <w:rsid w:val="00A535F2"/>
    <w:rsid w:val="00A84102"/>
    <w:rsid w:val="00A91707"/>
    <w:rsid w:val="00AD1575"/>
    <w:rsid w:val="00AF53C1"/>
    <w:rsid w:val="00AF5707"/>
    <w:rsid w:val="00B045E9"/>
    <w:rsid w:val="00B04A70"/>
    <w:rsid w:val="00B05D9A"/>
    <w:rsid w:val="00B44FFC"/>
    <w:rsid w:val="00B6123F"/>
    <w:rsid w:val="00B6670C"/>
    <w:rsid w:val="00B76C28"/>
    <w:rsid w:val="00C35EA3"/>
    <w:rsid w:val="00C64AE6"/>
    <w:rsid w:val="00CB7562"/>
    <w:rsid w:val="00D3179C"/>
    <w:rsid w:val="00D359EB"/>
    <w:rsid w:val="00D43D28"/>
    <w:rsid w:val="00DB1BD1"/>
    <w:rsid w:val="00DF238A"/>
    <w:rsid w:val="00DF640B"/>
    <w:rsid w:val="00E7116B"/>
    <w:rsid w:val="00EB1F14"/>
    <w:rsid w:val="00EC50F6"/>
    <w:rsid w:val="00F623A4"/>
    <w:rsid w:val="00F63B5E"/>
    <w:rsid w:val="00F66F15"/>
    <w:rsid w:val="00F9650D"/>
    <w:rsid w:val="00FA3883"/>
    <w:rsid w:val="00FD65B0"/>
    <w:rsid w:val="00FF3C84"/>
    <w:rsid w:val="0C04381B"/>
    <w:rsid w:val="0E3C537D"/>
    <w:rsid w:val="156225E7"/>
    <w:rsid w:val="1E1C057C"/>
    <w:rsid w:val="2D88100B"/>
    <w:rsid w:val="2FBC1CEF"/>
    <w:rsid w:val="30CC2CEA"/>
    <w:rsid w:val="362B718F"/>
    <w:rsid w:val="63577169"/>
    <w:rsid w:val="73624C34"/>
    <w:rsid w:val="76973102"/>
    <w:rsid w:val="7AE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06C3F-2C64-4F51-8CB2-2EDA5F1978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131</Words>
  <Characters>753</Characters>
  <Lines>6</Lines>
  <Paragraphs>1</Paragraphs>
  <TotalTime>12</TotalTime>
  <ScaleCrop>false</ScaleCrop>
  <LinksUpToDate>false</LinksUpToDate>
  <CharactersWithSpaces>883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2018-10-25T05:37:00Z</dcterms:created>
  <dc:creator>haiyang jiang</dc:creator>
  <cp:lastModifiedBy>Hustle&amp;Flow</cp:lastModifiedBy>
  <dcterms:modified xsi:type="dcterms:W3CDTF">2021-04-12T12:38:10Z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FE098B1018454E09AF824E697EF49C6F</vt:lpwstr>
  </property>
</Properties>
</file>